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4, dell’Accordo sulle norme di garanzia dei servizi pubblici essenziali e sulle procedure di raffreddamento e conciliazione in caso di sciopero firmato il 2 dicembre 2020, per il comparto Istruzione e Ricerca. 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="00F12EC2">
        <w:rPr>
          <w:rFonts w:ascii="Calibri Light" w:hAnsi="Calibri Light" w:cs="Calibri Light"/>
          <w:b/>
          <w:sz w:val="22"/>
          <w:szCs w:val="22"/>
        </w:rPr>
        <w:t>– Sezione Scuola del  06</w:t>
      </w:r>
      <w:bookmarkStart w:id="0" w:name="_GoBack"/>
      <w:bookmarkEnd w:id="0"/>
      <w:r>
        <w:rPr>
          <w:rFonts w:ascii="Calibri Light" w:hAnsi="Calibri Light" w:cs="Calibri Light"/>
          <w:b/>
          <w:sz w:val="22"/>
          <w:szCs w:val="22"/>
        </w:rPr>
        <w:t xml:space="preserve"> maggio 2024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______________                                                       ________________________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data                                                                                       firma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ind w:left="720"/>
        <w:rPr>
          <w:rFonts w:ascii="Calibri Light" w:hAnsi="Calibri Light" w:cs="Calibri Light"/>
          <w:sz w:val="20"/>
          <w:szCs w:val="20"/>
        </w:rPr>
      </w:pPr>
    </w:p>
    <w:p w:rsidR="00886972" w:rsidRDefault="00886972" w:rsidP="00886972">
      <w:pPr>
        <w:widowControl w:val="0"/>
        <w:autoSpaceDE w:val="0"/>
        <w:autoSpaceDN w:val="0"/>
        <w:adjustRightInd w:val="0"/>
        <w:jc w:val="both"/>
        <w:rPr>
          <w:rStyle w:val="Carpredefinitoparagrafo1"/>
          <w:sz w:val="22"/>
          <w:szCs w:val="22"/>
        </w:rPr>
      </w:pPr>
    </w:p>
    <w:p w:rsidR="003978E7" w:rsidRDefault="003978E7"/>
    <w:sectPr w:rsidR="00397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978E7"/>
    <w:rsid w:val="00886972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3</cp:revision>
  <dcterms:created xsi:type="dcterms:W3CDTF">2024-04-29T06:57:00Z</dcterms:created>
  <dcterms:modified xsi:type="dcterms:W3CDTF">2024-04-29T09:10:00Z</dcterms:modified>
</cp:coreProperties>
</file>